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Portability Guide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Last updated: 2026-03-19</w:t>
      </w:r>
    </w:p>
    <w:p>
      <w:r>
        <w:t xml:space="preserve">Project: nextjs-saas-example</w:t>
      </w:r>
    </w:p>
    <w:p>
      <w:r>
        <w:t xml:space="preserve">Organization: Acme Inc</w:t>
      </w:r>
    </w:p>
    <w:p>
      <w:pPr>
        <w:pBdr>
          <w:bottom w:val="single" w:sz="6" w:space="1" w:color="999999"/>
        </w:pBdr>
      </w:pPr>
    </w:p>
    <w:p>
      <w:r>
        <w:t xml:space="preserve">This guide documents how to exercise the right to data portability under GDPR Article 20. Data portability allows data subjects to receive their personal data in a structured, commonly used, and machine-readable format, and to transmit that data to another controller without hindrance.</w:t>
      </w:r>
    </w:p>
    <w:p>
      <w:pPr>
        <w:pStyle w:val="Heading2"/>
      </w:pPr>
      <w:r>
        <w:t>Legal Basis</w:t>
      </w:r>
    </w:p>
    <w:p>
      <w:r>
        <w:t xml:space="preserve">GDPR Article 20 — Right to Data Portability:</w:t>
      </w:r>
    </w:p>
    <w:p>
      <w:pPr>
        <w:ind w:left="720"/>
      </w:pPr>
      <w:r>
        <w:rPr>
          <w:i/>
          <w:color w:val="666666"/>
        </w:rPr>
        <w:t xml:space="preserve">1. The data subject shall have the right to receive the personal data concerning him or her, which he or she has provided to a controller, in a structured, commonly used and machine-readable format and have the right to transmit those data to another controller without hindrance from the controller to which the personal data have been provided.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2. In exercising his or her right to data portability, the data subject shall have the right to have the personal data transmitted directly from one controller to another, where technically feasible.</w:t>
      </w:r>
    </w:p>
    <w:p>
      <w:pPr>
        <w:pStyle w:val="Heading3"/>
      </w:pPr>
      <w:r>
        <w:t>When Data Portability Applies</w:t>
      </w:r>
    </w:p>
    <w:p>
      <w:r>
        <w:t xml:space="preserve">The right to data portability applies when:</w:t>
      </w:r>
    </w:p>
    <w:p>
      <w:pPr>
        <w:pStyle w:val="ListParagraph"/>
        <w:numPr>
          <w:ilvl w:val="0"/>
          <w:numId w:val="1"/>
        </w:numPr>
      </w:pPr>
      <w:r>
        <w:t xml:space="preserve">Processing is based on **consent** (Art. 6(1)(a)) or **contract** (Art. 6(1)(b))</w:t>
      </w:r>
    </w:p>
    <w:p>
      <w:pPr>
        <w:pStyle w:val="ListParagraph"/>
        <w:numPr>
          <w:ilvl w:val="0"/>
          <w:numId w:val="1"/>
        </w:numPr>
      </w:pPr>
      <w:r>
        <w:t xml:space="preserve">Processing is carried out by **automated means**</w:t>
      </w:r>
    </w:p>
    <w:p>
      <w:pPr>
        <w:pStyle w:val="ListParagraph"/>
        <w:numPr>
          <w:ilvl w:val="0"/>
          <w:numId w:val="1"/>
        </w:numPr>
      </w:pPr>
      <w:r>
        <w:t xml:space="preserve">The data was **provided by the data subject** (directly or through observation)</w:t>
      </w:r>
    </w:p>
    <w:p>
      <w:r>
        <w:t xml:space="preserve">It does not apply to:</w:t>
      </w:r>
    </w:p>
    <w:p>
      <w:pPr>
        <w:pStyle w:val="ListParagraph"/>
        <w:numPr>
          <w:ilvl w:val="0"/>
          <w:numId w:val="1"/>
        </w:numPr>
      </w:pPr>
      <w:r>
        <w:t xml:space="preserve">Data processed under legitimate interest or legal obligation</w:t>
      </w:r>
    </w:p>
    <w:p>
      <w:pPr>
        <w:pStyle w:val="ListParagraph"/>
        <w:numPr>
          <w:ilvl w:val="0"/>
          <w:numId w:val="1"/>
        </w:numPr>
      </w:pPr>
      <w:r>
        <w:t xml:space="preserve">Inferred or derived data (e.g., analytics scores, risk assessments)</w:t>
      </w:r>
    </w:p>
    <w:p>
      <w:pPr>
        <w:pStyle w:val="ListParagraph"/>
        <w:numPr>
          <w:ilvl w:val="0"/>
          <w:numId w:val="1"/>
        </w:numPr>
      </w:pPr>
      <w:r>
        <w:t xml:space="preserve">Data that would adversely affect the rights of others</w:t>
      </w:r>
    </w:p>
    <w:p>
      <w:pPr>
        <w:pStyle w:val="Heading2"/>
      </w:pPr>
      <w:r>
        <w:t>How to Request Your Data</w:t>
      </w:r>
    </w:p>
    <w:p>
      <w:r>
        <w:t xml:space="preserve">To request a copy of your personal data in a portable format:</w:t>
      </w:r>
    </w:p>
    <w:p>
      <w:pPr>
        <w:pStyle w:val="ListParagraph"/>
        <w:numPr>
          <w:ilvl w:val="0"/>
          <w:numId w:val="2"/>
        </w:numPr>
      </w:pPr>
      <w:r>
        <w:t xml:space="preserve">**Email:** Send a request to legal@acme.com or the DPO at dpo@acme-saas.com</w:t>
      </w:r>
    </w:p>
    <w:p>
      <w:pPr>
        <w:pStyle w:val="ListParagraph"/>
        <w:numPr>
          <w:ilvl w:val="0"/>
          <w:numId w:val="2"/>
        </w:numPr>
      </w:pPr>
      <w:r>
        <w:t xml:space="preserve">**Subject line:** "Data Portability Request"</w:t>
      </w:r>
    </w:p>
    <w:p>
      <w:pPr>
        <w:pStyle w:val="ListParagraph"/>
        <w:numPr>
          <w:ilvl w:val="0"/>
          <w:numId w:val="2"/>
        </w:numPr>
      </w:pPr>
      <w:r>
        <w:t xml:space="preserve">**Include:** Your name, account identifier (email or user ID), and the specific data you want exported</w:t>
      </w:r>
    </w:p>
    <w:p>
      <w:pPr>
        <w:pStyle w:val="ListParagraph"/>
        <w:numPr>
          <w:ilvl w:val="0"/>
          <w:numId w:val="2"/>
        </w:numPr>
      </w:pPr>
      <w:r>
        <w:t xml:space="preserve">**Response time:** We will respond within **30 days** of receiving your request (GDPR Art. 12(3))</w:t>
      </w:r>
    </w:p>
    <w:p>
      <w:pPr>
        <w:pStyle w:val="ListParagraph"/>
        <w:numPr>
          <w:ilvl w:val="0"/>
          <w:numId w:val="2"/>
        </w:numPr>
      </w:pPr>
      <w:r>
        <w:t xml:space="preserve">**Format:** Data will be provided in JSON or CSV format unless you request otherwise</w:t>
      </w:r>
    </w:p>
    <w:p>
      <w:r>
        <w:t xml:space="preserve">If you prefer, you may request that we transmit your data directly to another controller. We will do so where technically feasible.</w:t>
      </w:r>
    </w:p>
    <w:p>
      <w:pPr>
        <w:pStyle w:val="Heading2"/>
      </w:pPr>
      <w:r>
        <w:t>Per-Service Export Instructions</w:t>
      </w:r>
    </w:p>
    <w:p>
      <w:r>
        <w:t xml:space="preserve">The following services process personal data in this application. Each section provides specific export instructions and API endpoints for retrieving your data.</w:t>
      </w:r>
    </w:p>
    <w:p>
      <w:pPr>
        <w:pStyle w:val="Heading3"/>
      </w:pPr>
      <w:r>
        <w:t>Supabase Inc</w:t>
      </w:r>
    </w:p>
    <w:p>
      <w:r>
        <w:t xml:space="preserve">Service: @supabase/supabase-js</w:t>
      </w:r>
    </w:p>
    <w:p>
      <w:r>
        <w:t xml:space="preserve">Export Formats: JSON, CSV, SQL</w:t>
      </w:r>
    </w:p>
    <w:p>
      <w:r>
        <w:t xml:space="preserve">Export URL: https://app.supabase.com/project/{ref}/settings</w:t>
      </w:r>
    </w:p>
    <w:p>
      <w:r>
        <w:t xml:space="preserve">API Endpoint: `https://{ref}.supabase.co/rest/v1/{table}?select=*`</w:t>
      </w:r>
    </w:p>
    <w:p>
      <w:r>
        <w:t xml:space="preserve">Estimated Time: API responses immediate</w:t>
      </w:r>
    </w:p>
    <w:p>
      <w:r>
        <w:t xml:space="preserve">Steps:</w:t>
      </w:r>
    </w:p>
    <w:p>
      <w:pPr>
        <w:pStyle w:val="ListParagraph"/>
        <w:numPr>
          <w:ilvl w:val="0"/>
          <w:numId w:val="2"/>
        </w:numPr>
      </w:pPr>
      <w:r>
        <w:t xml:space="preserve">Log in to Supabase Dashboard</w:t>
      </w:r>
    </w:p>
    <w:p>
      <w:pPr>
        <w:pStyle w:val="ListParagraph"/>
        <w:numPr>
          <w:ilvl w:val="0"/>
          <w:numId w:val="2"/>
        </w:numPr>
      </w:pPr>
      <w:r>
        <w:t xml:space="preserve">Navigate to your project settings</w:t>
      </w:r>
    </w:p>
    <w:p>
      <w:pPr>
        <w:pStyle w:val="ListParagraph"/>
        <w:numPr>
          <w:ilvl w:val="0"/>
          <w:numId w:val="2"/>
        </w:numPr>
      </w:pPr>
      <w:r>
        <w:t xml:space="preserve">Use the Table Editor to export specific tables as CSV</w:t>
      </w:r>
    </w:p>
    <w:p>
      <w:pPr>
        <w:pStyle w:val="ListParagraph"/>
        <w:numPr>
          <w:ilvl w:val="0"/>
          <w:numId w:val="2"/>
        </w:numPr>
      </w:pPr>
      <w:r>
        <w:t xml:space="preserve">Use the Supabase REST API (PostgREST) for programmatic data export</w:t>
      </w:r>
    </w:p>
    <w:p>
      <w:pPr>
        <w:pStyle w:val="Heading3"/>
      </w:pPr>
      <w:r>
        <w:t>PostHog Inc</w:t>
      </w:r>
    </w:p>
    <w:p>
      <w:r>
        <w:t xml:space="preserve">Service: posthog</w:t>
      </w:r>
    </w:p>
    <w:p>
      <w:r>
        <w:t xml:space="preserve">Export Formats: JSON, CSV</w:t>
      </w:r>
    </w:p>
    <w:p>
      <w:r>
        <w:t xml:space="preserve">Export URL: https://app.posthog.com/project/settings &gt; Data Management</w:t>
      </w:r>
    </w:p>
    <w:p>
      <w:r>
        <w:t xml:space="preserve">API Endpoint: `https://app.posthog.com/api/projects/{project_id}/events`</w:t>
      </w:r>
    </w:p>
    <w:p>
      <w:r>
        <w:t xml:space="preserve">Estimated Time: API responses immediate; bulk exports within 1 hour</w:t>
      </w:r>
    </w:p>
    <w:p>
      <w:r>
        <w:t xml:space="preserve">Steps:</w:t>
      </w:r>
    </w:p>
    <w:p>
      <w:pPr>
        <w:pStyle w:val="ListParagraph"/>
        <w:numPr>
          <w:ilvl w:val="0"/>
          <w:numId w:val="2"/>
        </w:numPr>
      </w:pPr>
      <w:r>
        <w:t xml:space="preserve">Log in to PostHog dashboard</w:t>
      </w:r>
    </w:p>
    <w:p>
      <w:pPr>
        <w:pStyle w:val="ListParagraph"/>
        <w:numPr>
          <w:ilvl w:val="0"/>
          <w:numId w:val="2"/>
        </w:numPr>
      </w:pPr>
      <w:r>
        <w:t xml:space="preserve">Navigate to Data Management &gt; Exports</w:t>
      </w:r>
    </w:p>
    <w:p>
      <w:pPr>
        <w:pStyle w:val="ListParagraph"/>
        <w:numPr>
          <w:ilvl w:val="0"/>
          <w:numId w:val="2"/>
        </w:numPr>
      </w:pPr>
      <w:r>
        <w:t xml:space="preserve">Create a data export for the desired date range</w:t>
      </w:r>
    </w:p>
    <w:p>
      <w:pPr>
        <w:pStyle w:val="ListParagraph"/>
        <w:numPr>
          <w:ilvl w:val="0"/>
          <w:numId w:val="2"/>
        </w:numPr>
      </w:pPr>
      <w:r>
        <w:t xml:space="preserve">Use the PostHog API /api/projects/{id}/events for programmatic access</w:t>
      </w:r>
    </w:p>
    <w:p>
      <w:pPr>
        <w:pStyle w:val="Heading3"/>
      </w:pPr>
      <w:r>
        <w:t>Stripe Inc</w:t>
      </w:r>
    </w:p>
    <w:p>
      <w:r>
        <w:t xml:space="preserve">Service: stripe</w:t>
      </w:r>
    </w:p>
    <w:p>
      <w:r>
        <w:t xml:space="preserve">Export Formats: JSON, CSV</w:t>
      </w:r>
    </w:p>
    <w:p>
      <w:r>
        <w:t xml:space="preserve">Export URL: https://dashboard.stripe.com/settings/data</w:t>
      </w:r>
    </w:p>
    <w:p>
      <w:r>
        <w:t xml:space="preserve">API Endpoint: `https://api.stripe.com/v1/customers/{id}`</w:t>
      </w:r>
    </w:p>
    <w:p>
      <w:r>
        <w:t xml:space="preserve">Estimated Time: API responses immediate; full export within 48 hours</w:t>
      </w:r>
    </w:p>
    <w:p>
      <w:r>
        <w:t xml:space="preserve">Steps:</w:t>
      </w:r>
    </w:p>
    <w:p>
      <w:pPr>
        <w:pStyle w:val="ListParagraph"/>
        <w:numPr>
          <w:ilvl w:val="0"/>
          <w:numId w:val="2"/>
        </w:numPr>
      </w:pPr>
      <w:r>
        <w:t xml:space="preserve">Log in to Stripe Dashboard</w:t>
      </w:r>
    </w:p>
    <w:p>
      <w:pPr>
        <w:pStyle w:val="ListParagraph"/>
        <w:numPr>
          <w:ilvl w:val="0"/>
          <w:numId w:val="2"/>
        </w:numPr>
      </w:pPr>
      <w:r>
        <w:t xml:space="preserve">Navigate to Settings &gt; Data &amp; Privacy</w:t>
      </w:r>
    </w:p>
    <w:p>
      <w:pPr>
        <w:pStyle w:val="ListParagraph"/>
        <w:numPr>
          <w:ilvl w:val="0"/>
          <w:numId w:val="2"/>
        </w:numPr>
      </w:pPr>
      <w:r>
        <w:t xml:space="preserve">Use the Stripe API to export customer and payment data</w:t>
      </w:r>
    </w:p>
    <w:p>
      <w:pPr>
        <w:pStyle w:val="Heading2"/>
      </w:pPr>
      <w:r>
        <w:t>Supported Export Formats</w:t>
      </w:r>
    </w:p>
    <w:p>
      <w:r>
        <w:t xml:space="preserve">Per GDPR Article 20, data must be provided in a structured, commonly used, and machine-readable format. We support:</w:t>
      </w:r>
    </w:p>
    <w:p>
      <w:r>
        <w:rPr>
          <w:sz w:val="20"/>
        </w:rPr>
        <w:t xml:space="preserve">Format  |  Description  |  Machine-Readable  |  Interoperable</w:t>
      </w:r>
    </w:p>
    <w:p>
      <w:r>
        <w:rPr>
          <w:sz w:val="20"/>
        </w:rPr>
        <w:t xml:space="preserve">JSON  |  JavaScript Object Notation  |  Yes  |  Yes</w:t>
      </w:r>
    </w:p>
    <w:p>
      <w:r>
        <w:rPr>
          <w:sz w:val="20"/>
        </w:rPr>
        <w:t xml:space="preserve">CSV  |  Comma-Separated Values  |  Yes  |  Yes</w:t>
      </w:r>
    </w:p>
    <w:p>
      <w:r>
        <w:rPr>
          <w:sz w:val="20"/>
        </w:rPr>
        <w:t xml:space="preserve">XML  |  Extensible Markup Language  |  Yes  |  Yes</w:t>
      </w:r>
    </w:p>
    <w:p>
      <w:r>
        <w:t xml:space="preserve">All exports include metadata headers (export date, data subject ID, scope) to facilitate import into other systems.</w:t>
      </w:r>
    </w:p>
    <w:p>
      <w:pPr>
        <w:pStyle w:val="Heading2"/>
      </w:pPr>
      <w:r>
        <w:t>Implementation Checklist</w:t>
      </w:r>
    </w:p>
    <w:p>
      <w:r>
        <w:t xml:space="preserve">The following checklist ensures your data portability implementation meets GDPR requirements:</w:t>
      </w:r>
    </w:p>
    <w:p>
      <w:pPr>
        <w:pStyle w:val="ListParagraph"/>
        <w:numPr>
          <w:ilvl w:val="0"/>
          <w:numId w:val="1"/>
        </w:numPr>
      </w:pPr>
      <w:r>
        <w:t xml:space="preserve">[ ] Data export API endpoint is implemented and accessible</w:t>
      </w:r>
    </w:p>
    <w:p>
      <w:pPr>
        <w:pStyle w:val="ListParagraph"/>
        <w:numPr>
          <w:ilvl w:val="0"/>
          <w:numId w:val="1"/>
        </w:numPr>
      </w:pPr>
      <w:r>
        <w:t xml:space="preserve">[ ] Export includes all personal data provided by the data subject</w:t>
      </w:r>
    </w:p>
    <w:p>
      <w:pPr>
        <w:pStyle w:val="ListParagraph"/>
        <w:numPr>
          <w:ilvl w:val="0"/>
          <w:numId w:val="1"/>
        </w:numPr>
      </w:pPr>
      <w:r>
        <w:t xml:space="preserve">[ ] Export format is structured, commonly used, and machine-readable</w:t>
      </w:r>
    </w:p>
    <w:p>
      <w:pPr>
        <w:pStyle w:val="ListParagraph"/>
        <w:numPr>
          <w:ilvl w:val="0"/>
          <w:numId w:val="1"/>
        </w:numPr>
      </w:pPr>
      <w:r>
        <w:t xml:space="preserve">[ ] Direct transmission to another controller is supported where feasible</w:t>
      </w:r>
    </w:p>
    <w:p>
      <w:pPr>
        <w:pStyle w:val="ListParagraph"/>
        <w:numPr>
          <w:ilvl w:val="0"/>
          <w:numId w:val="1"/>
        </w:numPr>
      </w:pPr>
      <w:r>
        <w:t xml:space="preserve">[ ] Portability requests are tracked and responded to within 30 days</w:t>
      </w:r>
    </w:p>
    <w:p>
      <w:pPr>
        <w:pStyle w:val="ListParagraph"/>
        <w:numPr>
          <w:ilvl w:val="0"/>
          <w:numId w:val="1"/>
        </w:numPr>
      </w:pPr>
      <w:r>
        <w:t xml:space="preserve">[ ] Authentication verifies the identity of the requesting data subject</w:t>
      </w:r>
    </w:p>
    <w:p>
      <w:pPr>
        <w:pStyle w:val="ListParagraph"/>
        <w:numPr>
          <w:ilvl w:val="0"/>
          <w:numId w:val="1"/>
        </w:numPr>
      </w:pPr>
      <w:r>
        <w:t xml:space="preserve">[ ] Export excludes third-party personal data (to protect others' rights)</w:t>
      </w:r>
    </w:p>
    <w:p>
      <w:pPr>
        <w:pStyle w:val="ListParagraph"/>
        <w:numPr>
          <w:ilvl w:val="0"/>
          <w:numId w:val="1"/>
        </w:numPr>
      </w:pPr>
      <w:r>
        <w:t xml:space="preserve">[ ] Sub-processor data is included or referenced with retrieval instructions</w:t>
      </w:r>
    </w:p>
    <w:p>
      <w:pPr>
        <w:pStyle w:val="Heading2"/>
      </w:pPr>
      <w:r>
        <w:t>Contact</w:t>
      </w:r>
    </w:p>
    <w:p>
      <w:r>
        <w:t xml:space="preserve">For data portability requests or questions about your right to data portability, contact:</w:t>
      </w:r>
    </w:p>
    <w:p>
      <w:pPr>
        <w:pStyle w:val="ListParagraph"/>
        <w:numPr>
          <w:ilvl w:val="0"/>
          <w:numId w:val="1"/>
        </w:numPr>
      </w:pPr>
      <w:r>
        <w:t xml:space="preserve">**Email:** legal@acme.com</w:t>
      </w:r>
    </w:p>
    <w:p>
      <w:pPr>
        <w:pStyle w:val="ListParagraph"/>
        <w:numPr>
          <w:ilvl w:val="0"/>
          <w:numId w:val="1"/>
        </w:numPr>
      </w:pPr>
      <w:r>
        <w:t xml:space="preserve">**Data Protection Officer:** dpo@acme-saas.com</w:t>
      </w:r>
    </w:p>
    <w:p>
      <w:r>
        <w:t xml:space="preserve">You also have the right to lodge a complaint with your local data protection supervisory authority if you believe your data portability rights have not been respected.</w:t>
      </w:r>
    </w:p>
    <w:p>
      <w:pPr>
        <w:pBdr>
          <w:bottom w:val="single" w:sz="6" w:space="1" w:color="999999"/>
        </w:pBdr>
      </w:pPr>
    </w:p>
    <w:p>
      <w:r>
        <w:t xml:space="preserve">This data portability guide was generated by [Codepliant](https://github.com/joechensmartz/codepliant) based on an automated scan of the nextjs-saas-example codebase. It should be reviewed by your legal and engineering teams to ensure completeness and accuracy. Export instructions may change as third-party services update their APIs and dashboards.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